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B2" w:rsidRPr="003A5DD0" w:rsidRDefault="003A5DD0" w:rsidP="003A5DD0">
      <w:bookmarkStart w:id="0" w:name="_GoBack"/>
      <w:bookmarkEnd w:id="0"/>
      <w:r>
        <w:rPr>
          <w:noProof/>
        </w:rPr>
        <w:drawing>
          <wp:inline distT="0" distB="0" distL="0" distR="0">
            <wp:extent cx="5486400" cy="3200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A09E4" w:rsidRDefault="000A09E4"/>
    <w:sectPr w:rsidR="000A09E4" w:rsidSect="000C6B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A5DD0"/>
    <w:rsid w:val="000A09E4"/>
    <w:rsid w:val="000C6BF8"/>
    <w:rsid w:val="000D38B5"/>
    <w:rsid w:val="00303214"/>
    <w:rsid w:val="003A5DD0"/>
    <w:rsid w:val="00573EEA"/>
    <w:rsid w:val="00AE20F4"/>
    <w:rsid w:val="00CB66B2"/>
    <w:rsid w:val="00E0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D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D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D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D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18"/>
  <c:chart>
    <c:title>
      <c:tx>
        <c:rich>
          <a:bodyPr/>
          <a:lstStyle/>
          <a:p>
            <a:pPr>
              <a:defRPr/>
            </a:pPr>
            <a:r>
              <a:rPr lang="en-US">
                <a:solidFill>
                  <a:schemeClr val="accent6"/>
                </a:solidFill>
              </a:rPr>
              <a:t>TCHS Pickering</a:t>
            </a:r>
            <a:r>
              <a:rPr lang="en-US" baseline="0">
                <a:solidFill>
                  <a:schemeClr val="accent6"/>
                </a:solidFill>
              </a:rPr>
              <a:t> Preschool</a:t>
            </a:r>
            <a:endParaRPr lang="en-US">
              <a:solidFill>
                <a:schemeClr val="accent6"/>
              </a:solidFill>
            </a:endParaRP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Sheet1!$A$2:$A$27</c:f>
              <c:strCache>
                <c:ptCount val="2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  <c:pt idx="18">
                  <c:v>S</c:v>
                </c:pt>
                <c:pt idx="19">
                  <c:v>T</c:v>
                </c:pt>
                <c:pt idx="20">
                  <c:v>U</c:v>
                </c:pt>
                <c:pt idx="21">
                  <c:v>V</c:v>
                </c:pt>
                <c:pt idx="22">
                  <c:v>W</c:v>
                </c:pt>
                <c:pt idx="23">
                  <c:v>X</c:v>
                </c:pt>
                <c:pt idx="24">
                  <c:v>Y</c:v>
                </c:pt>
                <c:pt idx="25">
                  <c:v>Z</c:v>
                </c:pt>
              </c:strCache>
            </c:strRef>
          </c:cat>
          <c:val>
            <c:numRef>
              <c:f>Sheet1!$B$2:$B$27</c:f>
              <c:numCache>
                <c:formatCode>0%</c:formatCode>
                <c:ptCount val="26"/>
                <c:pt idx="0">
                  <c:v>0.75000000000000022</c:v>
                </c:pt>
                <c:pt idx="1">
                  <c:v>0.75000000000000022</c:v>
                </c:pt>
                <c:pt idx="2" formatCode="0.00%">
                  <c:v>0.37500000000000011</c:v>
                </c:pt>
                <c:pt idx="3">
                  <c:v>0.75000000000000022</c:v>
                </c:pt>
                <c:pt idx="4" formatCode="0.00%">
                  <c:v>0.62500000000000022</c:v>
                </c:pt>
                <c:pt idx="5" formatCode="0.00%">
                  <c:v>0.5</c:v>
                </c:pt>
                <c:pt idx="6">
                  <c:v>0.5</c:v>
                </c:pt>
                <c:pt idx="7" formatCode="0.00%">
                  <c:v>0.62500000000000022</c:v>
                </c:pt>
                <c:pt idx="8" formatCode="0.00%">
                  <c:v>0.37500000000000011</c:v>
                </c:pt>
                <c:pt idx="9">
                  <c:v>0.5</c:v>
                </c:pt>
                <c:pt idx="10" formatCode="0.00%">
                  <c:v>0.62500000000000022</c:v>
                </c:pt>
                <c:pt idx="11">
                  <c:v>0.75000000000000022</c:v>
                </c:pt>
                <c:pt idx="12">
                  <c:v>0.5</c:v>
                </c:pt>
                <c:pt idx="13">
                  <c:v>0.5</c:v>
                </c:pt>
                <c:pt idx="14">
                  <c:v>0.75000000000000022</c:v>
                </c:pt>
                <c:pt idx="15">
                  <c:v>0.75000000000000022</c:v>
                </c:pt>
                <c:pt idx="16" formatCode="0.00%">
                  <c:v>0.62500000000000022</c:v>
                </c:pt>
                <c:pt idx="17" formatCode="0.00%">
                  <c:v>0.62500000000000022</c:v>
                </c:pt>
                <c:pt idx="18" formatCode="0.00%">
                  <c:v>0.62500000000000022</c:v>
                </c:pt>
                <c:pt idx="19" formatCode="0.00%">
                  <c:v>0.87500000000000022</c:v>
                </c:pt>
                <c:pt idx="20">
                  <c:v>0.5</c:v>
                </c:pt>
                <c:pt idx="21">
                  <c:v>0.5</c:v>
                </c:pt>
                <c:pt idx="22" formatCode="0.00%">
                  <c:v>0.37500000000000011</c:v>
                </c:pt>
                <c:pt idx="23">
                  <c:v>0.5</c:v>
                </c:pt>
                <c:pt idx="24" formatCode="0.00%">
                  <c:v>0.62000000000000022</c:v>
                </c:pt>
                <c:pt idx="25">
                  <c:v>0.5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Sheet1!$A$2:$A$27</c:f>
              <c:strCache>
                <c:ptCount val="2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  <c:pt idx="18">
                  <c:v>S</c:v>
                </c:pt>
                <c:pt idx="19">
                  <c:v>T</c:v>
                </c:pt>
                <c:pt idx="20">
                  <c:v>U</c:v>
                </c:pt>
                <c:pt idx="21">
                  <c:v>V</c:v>
                </c:pt>
                <c:pt idx="22">
                  <c:v>W</c:v>
                </c:pt>
                <c:pt idx="23">
                  <c:v>X</c:v>
                </c:pt>
                <c:pt idx="24">
                  <c:v>Y</c:v>
                </c:pt>
                <c:pt idx="25">
                  <c:v>Z</c:v>
                </c:pt>
              </c:strCache>
            </c:strRef>
          </c:cat>
          <c:val>
            <c:numRef>
              <c:f>Sheet1!$C$2:$C$27</c:f>
              <c:numCache>
                <c:formatCode>General</c:formatCode>
                <c:ptCount val="26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Sheet1!$A$2:$A$27</c:f>
              <c:strCache>
                <c:ptCount val="2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  <c:pt idx="8">
                  <c:v>I</c:v>
                </c:pt>
                <c:pt idx="9">
                  <c:v>J</c:v>
                </c:pt>
                <c:pt idx="10">
                  <c:v>K</c:v>
                </c:pt>
                <c:pt idx="11">
                  <c:v>L</c:v>
                </c:pt>
                <c:pt idx="12">
                  <c:v>M</c:v>
                </c:pt>
                <c:pt idx="13">
                  <c:v>N</c:v>
                </c:pt>
                <c:pt idx="14">
                  <c:v>O</c:v>
                </c:pt>
                <c:pt idx="15">
                  <c:v>P</c:v>
                </c:pt>
                <c:pt idx="16">
                  <c:v>Q</c:v>
                </c:pt>
                <c:pt idx="17">
                  <c:v>R</c:v>
                </c:pt>
                <c:pt idx="18">
                  <c:v>S</c:v>
                </c:pt>
                <c:pt idx="19">
                  <c:v>T</c:v>
                </c:pt>
                <c:pt idx="20">
                  <c:v>U</c:v>
                </c:pt>
                <c:pt idx="21">
                  <c:v>V</c:v>
                </c:pt>
                <c:pt idx="22">
                  <c:v>W</c:v>
                </c:pt>
                <c:pt idx="23">
                  <c:v>X</c:v>
                </c:pt>
                <c:pt idx="24">
                  <c:v>Y</c:v>
                </c:pt>
                <c:pt idx="25">
                  <c:v>Z</c:v>
                </c:pt>
              </c:strCache>
            </c:strRef>
          </c:cat>
          <c:val>
            <c:numRef>
              <c:f>Sheet1!$D$2:$D$27</c:f>
              <c:numCache>
                <c:formatCode>General</c:formatCode>
                <c:ptCount val="26"/>
              </c:numCache>
            </c:numRef>
          </c:val>
        </c:ser>
        <c:marker val="1"/>
        <c:axId val="113536384"/>
        <c:axId val="113542272"/>
      </c:lineChart>
      <c:catAx>
        <c:axId val="113536384"/>
        <c:scaling>
          <c:orientation val="minMax"/>
        </c:scaling>
        <c:axPos val="b"/>
        <c:numFmt formatCode="General" sourceLinked="1"/>
        <c:majorTickMark val="none"/>
        <c:tickLblPos val="nextTo"/>
        <c:crossAx val="113542272"/>
        <c:crosses val="autoZero"/>
        <c:auto val="1"/>
        <c:lblAlgn val="ctr"/>
        <c:lblOffset val="100"/>
      </c:catAx>
      <c:valAx>
        <c:axId val="11354227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solidFill>
                      <a:srgbClr val="008000"/>
                    </a:solidFill>
                  </a:rPr>
                  <a:t>Percentage of Preschool Children</a:t>
                </a:r>
              </a:p>
            </c:rich>
          </c:tx>
        </c:title>
        <c:numFmt formatCode="0%" sourceLinked="1"/>
        <c:majorTickMark val="none"/>
        <c:tickLblPos val="nextTo"/>
        <c:crossAx val="1135363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Chester County Intermediate Unit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CCIU</dc:creator>
  <cp:lastModifiedBy>Jennifer</cp:lastModifiedBy>
  <cp:revision>2</cp:revision>
  <dcterms:created xsi:type="dcterms:W3CDTF">2015-04-07T15:19:00Z</dcterms:created>
  <dcterms:modified xsi:type="dcterms:W3CDTF">2015-04-07T15:19:00Z</dcterms:modified>
</cp:coreProperties>
</file>